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73EE01">
      <w:pPr>
        <w:pStyle w:val="2"/>
        <w:ind w:firstLine="0"/>
        <w:jc w:val="center"/>
        <w:rPr>
          <w:rFonts w:hint="default" w:eastAsia="宋体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畅想之星简易寻外文学术资源数据库</w:t>
      </w:r>
    </w:p>
    <w:p w14:paraId="1663494B">
      <w:pPr>
        <w:pStyle w:val="2"/>
        <w:ind w:firstLine="0"/>
        <w:jc w:val="left"/>
      </w:pPr>
      <w:r>
        <w:rPr>
          <w:rFonts w:hint="eastAsia"/>
        </w:rPr>
        <w:t>一：产品简介</w:t>
      </w:r>
    </w:p>
    <w:p w14:paraId="4BD56D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简易寻外文学术资源数据库通过整合图书馆馆藏期刊资源、开放获取（OA）期刊资源，以及馆外非开放获取期刊资源，使读者通过一站式检索、一站式发现、一站式获取所需要的资源，馆藏资源和开放获取资源可以直接获取全文，馆外非开放获取资源，可以提供获取渠道，如文献传递、单篇采购等。通过整合资源，使读者优先获取馆藏资源，提高馆藏资源的利用率；同时，通过整合馆藏资源，为图书馆提供已购各数据库信息，如资源量、核心期刊占比等，为图书馆提供相应的决策信息。</w:t>
      </w:r>
    </w:p>
    <w:p w14:paraId="3B5AD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b w:val="0"/>
          <w:sz w:val="24"/>
          <w:szCs w:val="24"/>
        </w:rPr>
      </w:pPr>
      <w:r>
        <w:rPr>
          <w:b w:val="0"/>
          <w:sz w:val="24"/>
          <w:szCs w:val="24"/>
        </w:rPr>
        <w:t>数据库目前已经整合</w:t>
      </w:r>
      <w:r>
        <w:rPr>
          <w:rFonts w:hint="eastAsia"/>
          <w:b w:val="0"/>
          <w:sz w:val="24"/>
          <w:szCs w:val="24"/>
          <w:lang w:val="en-US" w:eastAsia="zh-CN"/>
        </w:rPr>
        <w:t>20</w:t>
      </w:r>
      <w:r>
        <w:rPr>
          <w:rFonts w:hint="eastAsia"/>
          <w:b w:val="0"/>
          <w:sz w:val="24"/>
          <w:szCs w:val="24"/>
        </w:rPr>
        <w:t>万+种期刊2亿+元数据6千万+开放获取（OA）期刊文章，馆外非开放获取资源数以亿计，通过学科分类法等进行分类，更加便于查找。</w:t>
      </w:r>
    </w:p>
    <w:p w14:paraId="00CAD0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sz w:val="24"/>
          <w:szCs w:val="24"/>
        </w:rPr>
      </w:pPr>
    </w:p>
    <w:p w14:paraId="299827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网络链接地址：</w:t>
      </w:r>
      <w:r>
        <w:rPr>
          <w:rFonts w:hint="eastAsia"/>
          <w:b/>
          <w:bCs/>
          <w:sz w:val="30"/>
          <w:szCs w:val="30"/>
          <w:lang w:val="en-US" w:eastAsia="zh-CN"/>
        </w:rPr>
        <w:fldChar w:fldCharType="begin"/>
      </w:r>
      <w:r>
        <w:rPr>
          <w:rFonts w:hint="eastAsia"/>
          <w:b/>
          <w:bCs/>
          <w:sz w:val="30"/>
          <w:szCs w:val="30"/>
          <w:lang w:val="en-US" w:eastAsia="zh-CN"/>
        </w:rPr>
        <w:instrText xml:space="preserve"> HYPERLINK "https://jyx.cxstar.cn/" </w:instrText>
      </w:r>
      <w:r>
        <w:rPr>
          <w:rFonts w:hint="eastAsia"/>
          <w:b/>
          <w:bCs/>
          <w:sz w:val="30"/>
          <w:szCs w:val="30"/>
          <w:lang w:val="en-US" w:eastAsia="zh-CN"/>
        </w:rPr>
        <w:fldChar w:fldCharType="separate"/>
      </w:r>
      <w:r>
        <w:rPr>
          <w:rStyle w:val="5"/>
          <w:rFonts w:hint="eastAsia"/>
          <w:b/>
          <w:bCs/>
          <w:sz w:val="30"/>
          <w:szCs w:val="30"/>
          <w:lang w:val="en-US" w:eastAsia="zh-CN"/>
        </w:rPr>
        <w:t>https://jyx.cxstar.cn/</w:t>
      </w:r>
      <w:r>
        <w:rPr>
          <w:rFonts w:hint="eastAsia"/>
          <w:b/>
          <w:bCs/>
          <w:sz w:val="30"/>
          <w:szCs w:val="30"/>
          <w:lang w:val="en-US" w:eastAsia="zh-CN"/>
        </w:rPr>
        <w:fldChar w:fldCharType="end"/>
      </w:r>
    </w:p>
    <w:p w14:paraId="719F9E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  <w:bookmarkStart w:id="0" w:name="_GoBack"/>
      <w:bookmarkEnd w:id="0"/>
    </w:p>
    <w:p w14:paraId="03567D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2217420" cy="2207895"/>
            <wp:effectExtent l="0" t="0" r="11430" b="1905"/>
            <wp:docPr id="1" name="图片 1" descr="简易寻-读者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简易寻-读者端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B2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读者端视频使用说明，扫码播放</w:t>
      </w:r>
    </w:p>
    <w:p w14:paraId="78D529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43689F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left"/>
        <w:textAlignment w:val="auto"/>
      </w:pPr>
      <w:r>
        <w:rPr>
          <w:rFonts w:hint="eastAsia"/>
          <w:lang w:val="en-US" w:eastAsia="zh-CN"/>
        </w:rPr>
        <w:t>二</w:t>
      </w:r>
      <w:r>
        <w:rPr>
          <w:rFonts w:hint="eastAsia"/>
        </w:rPr>
        <w:t>：系统操作、浏览器扩展应用安装</w:t>
      </w:r>
    </w:p>
    <w:p w14:paraId="5C05064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（一）系统操作</w:t>
      </w:r>
    </w:p>
    <w:p w14:paraId="5F50521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1、系统登录</w:t>
      </w:r>
    </w:p>
    <w:p w14:paraId="575018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eastAsiaTheme="minorEastAsia"/>
          <w:b w:val="0"/>
          <w:sz w:val="24"/>
          <w:szCs w:val="24"/>
          <w:lang w:val="en-US" w:eastAsia="zh-CN"/>
        </w:rPr>
      </w:pPr>
      <w:r>
        <w:rPr>
          <w:rFonts w:hint="eastAsia"/>
          <w:b w:val="0"/>
          <w:sz w:val="24"/>
          <w:szCs w:val="24"/>
        </w:rPr>
        <w:t>浏览器访问</w:t>
      </w:r>
      <w:r>
        <w:rPr>
          <w:rFonts w:hint="eastAsia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/>
          <w:b w:val="0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"https://al.cxstar.cn/" \l "/" </w:instrText>
      </w:r>
      <w:r>
        <w:rPr>
          <w:sz w:val="28"/>
          <w:szCs w:val="28"/>
        </w:rPr>
        <w:fldChar w:fldCharType="separate"/>
      </w:r>
      <w:r>
        <w:rPr>
          <w:b w:val="0"/>
          <w:sz w:val="28"/>
          <w:szCs w:val="28"/>
        </w:rPr>
        <w:t>https://al.cxstar.cn/#/</w:t>
      </w:r>
      <w:r>
        <w:rPr>
          <w:b w:val="0"/>
          <w:sz w:val="28"/>
          <w:szCs w:val="28"/>
        </w:rPr>
        <w:fldChar w:fldCharType="end"/>
      </w:r>
      <w:r>
        <w:rPr>
          <w:rFonts w:hint="eastAsia"/>
          <w:b w:val="0"/>
          <w:sz w:val="28"/>
          <w:szCs w:val="28"/>
          <w:lang w:val="en-US" w:eastAsia="zh-CN"/>
        </w:rPr>
        <w:t xml:space="preserve"> </w:t>
      </w:r>
      <w:r>
        <w:rPr>
          <w:rFonts w:hint="eastAsia"/>
          <w:b w:val="0"/>
          <w:sz w:val="24"/>
          <w:szCs w:val="24"/>
          <w:lang w:val="en-US" w:eastAsia="zh-CN"/>
        </w:rPr>
        <w:t xml:space="preserve">  </w:t>
      </w:r>
      <w:r>
        <w:rPr>
          <w:rFonts w:hint="eastAsia"/>
          <w:b w:val="0"/>
          <w:sz w:val="24"/>
          <w:szCs w:val="24"/>
          <w:lang w:eastAsia="zh-CN"/>
        </w:rPr>
        <w:t>，</w:t>
      </w:r>
      <w:r>
        <w:rPr>
          <w:rFonts w:hint="eastAsia"/>
          <w:b w:val="0"/>
          <w:sz w:val="24"/>
          <w:szCs w:val="24"/>
          <w:lang w:val="en-US" w:eastAsia="zh-CN"/>
        </w:rPr>
        <w:t>IP范围内免登录使用</w:t>
      </w:r>
    </w:p>
    <w:p w14:paraId="73096F8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2、首页</w:t>
      </w:r>
    </w:p>
    <w:p w14:paraId="37937A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首页分为一站式检索与期刊导航功能。</w:t>
      </w:r>
    </w:p>
    <w:p w14:paraId="078FC64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2.1一站式检索</w:t>
      </w:r>
    </w:p>
    <w:p w14:paraId="635184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一站式检索功能包括分词检索与智能检索；通过全部字段、题名、DOI、作者、作者机构、基金项目等分字段检索；高级检索功能。</w:t>
      </w:r>
    </w:p>
    <w:p w14:paraId="2C9EAD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3406775"/>
            <wp:effectExtent l="9525" t="9525" r="12065" b="12700"/>
            <wp:docPr id="1857810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1033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7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CD7A7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分词检索：将检索词进行拆分，与系统内资源匹配筛选出读者所需结果；</w:t>
      </w:r>
    </w:p>
    <w:p w14:paraId="7C7EF0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智能检索：通过分析词语语义，与系统内资源匹配筛选出结果；</w:t>
      </w:r>
    </w:p>
    <w:p w14:paraId="5FADA8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字段检索：通过所有检索字段或通过题名、DOI、作者、作者机构、基金项目等字段匹配检索；</w:t>
      </w:r>
    </w:p>
    <w:p w14:paraId="5E936D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高级检索：通过各字段间的与否关系组合检索。</w:t>
      </w:r>
    </w:p>
    <w:p w14:paraId="1CC67A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2675890"/>
            <wp:effectExtent l="9525" t="9525" r="12065" b="19685"/>
            <wp:docPr id="472240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4008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D52F40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2.2检索结果列表</w:t>
      </w:r>
    </w:p>
    <w:p w14:paraId="50F47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</w:pPr>
      <w:r>
        <w:rPr>
          <w:rFonts w:hint="eastAsia"/>
          <w:b w:val="0"/>
          <w:sz w:val="24"/>
          <w:szCs w:val="24"/>
        </w:rPr>
        <w:t>检索结果的列表页通过相关度排序，展示文章的基本信息，也可通过年份排序，左侧提供聚合按钮。</w:t>
      </w:r>
    </w:p>
    <w:p w14:paraId="2EF76F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3239770"/>
            <wp:effectExtent l="9525" t="9525" r="12065" b="27305"/>
            <wp:docPr id="1029849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4934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7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A52837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2.2.1基本信息展示</w:t>
      </w:r>
    </w:p>
    <w:p w14:paraId="646CE2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列表页为检索的期刊文章结果，提供文章的题名、作者、所属期刊信息、DOI、出版社和来源信息，并提供快捷全文获取方式，点击可进入到文章的详情信息。</w:t>
      </w:r>
    </w:p>
    <w:p w14:paraId="4D6B5AF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2.2.2排序</w:t>
      </w:r>
    </w:p>
    <w:p w14:paraId="5F897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检索结果默认按与检索词的相关度进行排序，也可调整为按年份进行排序。</w:t>
      </w:r>
    </w:p>
    <w:p w14:paraId="5CCB930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2.2.3聚合项</w:t>
      </w:r>
    </w:p>
    <w:p w14:paraId="117895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列表左侧提供资源的聚合项，通过聚合项的组合筛选，可更精准定位到所需资源，聚合项包括资源来源（馆外资源、OA资源）、核心刊索引、外文学科、出版年、来源出版物、出版社、语种、国别/地区等。</w:t>
      </w:r>
    </w:p>
    <w:p w14:paraId="7FDC509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2.2.4详情页</w:t>
      </w:r>
    </w:p>
    <w:p w14:paraId="563A0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3406775"/>
            <wp:effectExtent l="9525" t="9525" r="12065" b="12700"/>
            <wp:docPr id="1261727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2772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7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E2A63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文章的详情页包括除题名、作者等基本信息外的更多信息，如文献类型、语种、页码、获取方式、作者详情、相似文献、参考文献、引证文献等，还包括所属期刊的期刊名、ISSN、出版社等信息。</w:t>
      </w:r>
    </w:p>
    <w:p w14:paraId="7A3FE6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全文获取：通过对馆藏资源、可供资源、OA资源等的管理与标引，可在资源详情页为读者提供快捷的全文获取方式，如馆藏资源可直接跳转使用、OA资源可跳转使用，如是需要购买的资源，可通过跳转文献传递或单篇采选来实现资源的获取。</w:t>
      </w:r>
    </w:p>
    <w:p w14:paraId="0BAA441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3、期刊导航</w:t>
      </w:r>
    </w:p>
    <w:p w14:paraId="1D2F2E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期刊导航页提供检索框，可通过刊名、ISSN、出版社等字段或全部字段对期刊进行检索发现，也可通过高级检索精准检索期刊。</w:t>
      </w:r>
    </w:p>
    <w:p w14:paraId="45B90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3025775"/>
            <wp:effectExtent l="9525" t="9525" r="12065" b="12700"/>
            <wp:docPr id="347773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7305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3E96E4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3.1列表与聚合</w:t>
      </w:r>
    </w:p>
    <w:p w14:paraId="568E76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检索结果默认按相关度列表显示，也可调整为按年份进行展示，另外提供通过首字母进行导航、通过核心刊索引、学科分类、语种、出版社、数据库等各种条件二次聚合筛选。</w:t>
      </w:r>
    </w:p>
    <w:p w14:paraId="23060EE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3.2期刊详情</w:t>
      </w:r>
    </w:p>
    <w:p w14:paraId="2158F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在期刊详情页按期次或出版年展示期刊内的文章，也支持在期刊内的二次检索，检索本期刊内的文章资源，点击相应文章可进入到文章的详情页。</w:t>
      </w:r>
    </w:p>
    <w:p w14:paraId="401E4A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74310" cy="3125470"/>
            <wp:effectExtent l="9525" t="9525" r="12065" b="27305"/>
            <wp:docPr id="1725349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4918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7733E1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（二）浏览器扩展</w:t>
      </w:r>
    </w:p>
    <w:p w14:paraId="235599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这篇教程适用于 Chrome、Edge、360、搜狗。</w:t>
      </w:r>
    </w:p>
    <w:p w14:paraId="1913BEE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步骤一、下载AI助手</w:t>
      </w:r>
    </w:p>
    <w:p w14:paraId="7CEDF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AI助手下载链接：</w:t>
      </w:r>
      <w:r>
        <w:fldChar w:fldCharType="begin"/>
      </w:r>
      <w:r>
        <w:instrText xml:space="preserve"> HYPERLINK "https://show-singlebuy.cxstar.cn/profile/upload/2023/06/19/AI%E5%8A%A9%E6%89%8B-%E6%8B%96%E5%88%B0%E6%B5%8F%E8%A7%88%E5%99%A8%E6%89%A9%E5%B1%95.zip" </w:instrText>
      </w:r>
      <w:r>
        <w:fldChar w:fldCharType="separate"/>
      </w:r>
      <w:r>
        <w:rPr>
          <w:rFonts w:hint="eastAsia"/>
          <w:b w:val="0"/>
          <w:sz w:val="24"/>
          <w:szCs w:val="24"/>
        </w:rPr>
        <w:t>AI助手下载</w:t>
      </w:r>
      <w:r>
        <w:rPr>
          <w:rFonts w:hint="eastAsia"/>
          <w:b w:val="0"/>
          <w:sz w:val="24"/>
          <w:szCs w:val="24"/>
        </w:rPr>
        <w:fldChar w:fldCharType="end"/>
      </w:r>
    </w:p>
    <w:p w14:paraId="31492D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将下载的zip文件解压，找到“AI助手-拖到浏览器扩展”文件夹。</w:t>
      </w:r>
    </w:p>
    <w:p w14:paraId="54A43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eastAsia="宋体" w:asciiTheme="majorHAnsi" w:hAnsiTheme="majorHAnsi" w:cstheme="majorBidi"/>
          <w:bCs/>
          <w:sz w:val="28"/>
          <w:szCs w:val="28"/>
        </w:rPr>
      </w:pPr>
      <w:r>
        <w:drawing>
          <wp:inline distT="0" distB="0" distL="0" distR="0">
            <wp:extent cx="2713355" cy="706755"/>
            <wp:effectExtent l="0" t="0" r="10795" b="17145"/>
            <wp:docPr id="14729195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19562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EFB7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步骤二、打开“扩展程序”页面</w:t>
      </w:r>
    </w:p>
    <w:p w14:paraId="790585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点击Chrome浏览器右上角菜单栏，从"更多工具中打开"扩展程序"，或在网址输入:chrome://extensions/</w:t>
      </w:r>
    </w:p>
    <w:p w14:paraId="74B28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</w:rPr>
      </w:pPr>
      <w:r>
        <w:drawing>
          <wp:inline distT="0" distB="0" distL="0" distR="0">
            <wp:extent cx="5274310" cy="3774440"/>
            <wp:effectExtent l="9525" t="9525" r="12065" b="26035"/>
            <wp:docPr id="11149153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15370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D92593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步骤三、在右上角打开"开发者模式"</w:t>
      </w:r>
    </w:p>
    <w:p w14:paraId="12DC94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注:Chrome69版本后，需要打开开发者模式才能够进行手动安装。</w:t>
      </w:r>
    </w:p>
    <w:p w14:paraId="53B440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</w:rPr>
      </w:pPr>
      <w:r>
        <w:drawing>
          <wp:inline distT="0" distB="0" distL="0" distR="0">
            <wp:extent cx="5274310" cy="3298825"/>
            <wp:effectExtent l="9525" t="9525" r="12065" b="25400"/>
            <wp:docPr id="12302269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2695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FA7C9F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步骤四、拖拽“AI助手-拖到浏览器扩展”文件进行安装</w:t>
      </w:r>
    </w:p>
    <w:p w14:paraId="3B12A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将刚才解压缩后的“AI助手-拖到浏览器扩展”文件拖拽至"扩展程序"页面</w:t>
      </w:r>
    </w:p>
    <w:p w14:paraId="3FE97B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</w:rPr>
      </w:pPr>
      <w:r>
        <w:drawing>
          <wp:inline distT="0" distB="0" distL="0" distR="0">
            <wp:extent cx="2713355" cy="706755"/>
            <wp:effectExtent l="0" t="0" r="10795" b="17145"/>
            <wp:docPr id="10641564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56488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649345"/>
            <wp:effectExtent l="9525" t="9525" r="12065" b="17780"/>
            <wp:docPr id="8293629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62946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F7FB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点击弹出窗口的"添加扩展程序"</w:t>
      </w:r>
    </w:p>
    <w:p w14:paraId="356BE1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</w:rPr>
      </w:pPr>
      <w:r>
        <w:drawing>
          <wp:inline distT="0" distB="0" distL="0" distR="0">
            <wp:extent cx="5274310" cy="3774440"/>
            <wp:effectExtent l="9525" t="9525" r="12065" b="26035"/>
            <wp:docPr id="2999725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72541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0EC3E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完成安装</w:t>
      </w:r>
    </w:p>
    <w:p w14:paraId="442139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</w:rPr>
      </w:pPr>
      <w:r>
        <w:drawing>
          <wp:inline distT="0" distB="0" distL="0" distR="0">
            <wp:extent cx="5274310" cy="3774440"/>
            <wp:effectExtent l="9525" t="9525" r="12065" b="26035"/>
            <wp:docPr id="14174066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06678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F082B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注：安装插件前已打开的网页需刷新后才可正常使用插件收藏</w:t>
      </w:r>
    </w:p>
    <w:p w14:paraId="39257BC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（三）浏览器扩展使用说明</w:t>
      </w:r>
    </w:p>
    <w:p w14:paraId="31BA0D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校园IP范围内，主流外文资源网站上检索资源，点击资源DOI旁边</w:t>
      </w:r>
      <w:r>
        <w:rPr>
          <w:rFonts w:hint="eastAsia"/>
          <w:b w:val="0"/>
          <w:sz w:val="24"/>
          <w:szCs w:val="24"/>
          <w:lang w:val="en-US" w:eastAsia="zh-CN"/>
        </w:rPr>
        <w:t xml:space="preserve"> </w:t>
      </w:r>
      <w:r>
        <w:rPr>
          <w:rFonts w:hint="eastAsia"/>
          <w:b w:val="0"/>
          <w:sz w:val="24"/>
          <w:szCs w:val="24"/>
        </w:rPr>
        <w:t>的获取按钮，即可获取原文！</w:t>
      </w:r>
    </w:p>
    <w:p w14:paraId="1F4636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0" distR="0">
            <wp:extent cx="5266690" cy="2273935"/>
            <wp:effectExtent l="0" t="0" r="10160" b="12065"/>
            <wp:docPr id="1526999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9943" name="图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0975" cy="2475865"/>
            <wp:effectExtent l="0" t="0" r="15875" b="635"/>
            <wp:docPr id="1107788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88624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824D"/>
    <w:p w14:paraId="42BE44E9">
      <w:pPr>
        <w:pStyle w:val="2"/>
        <w:ind w:firstLine="0"/>
        <w:jc w:val="left"/>
      </w:pPr>
      <w:r>
        <w:rPr>
          <w:rFonts w:hint="eastAsia"/>
        </w:rPr>
        <w:t>四：产品特色</w:t>
      </w:r>
    </w:p>
    <w:p w14:paraId="01BE043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（一）资源特色</w:t>
      </w:r>
    </w:p>
    <w:p w14:paraId="741B2A6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1、彻底整合馆藏资源</w:t>
      </w:r>
    </w:p>
    <w:p w14:paraId="59D17D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目前很多发现平台并没有很好的整合馆藏资源，读者通过发现平台找到的资源直接通过文献传递来获取，这样以来，馆藏资源并不能很好的得到利用，数据不好统计，也导致无法通过数据来引导馆藏建设。</w:t>
      </w:r>
    </w:p>
    <w:p w14:paraId="60AE8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我们通过数据库、订购单元、期刊、文章之间的所属关系的关联与管理，可以很好的将图书馆的馆藏资源管理起来，另外系统平台支持单刊或单篇文章的管理，做到馆藏资源管理的零遗漏。</w:t>
      </w:r>
    </w:p>
    <w:p w14:paraId="20060B2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2、OA与绿色OA资源</w:t>
      </w:r>
    </w:p>
    <w:p w14:paraId="5CF2F9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系统平台中提供了OA资源，包括黄金OA和绿色OA等，可直接提供读者使用。</w:t>
      </w:r>
    </w:p>
    <w:p w14:paraId="73B0D82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（二）获取方式特色</w:t>
      </w:r>
    </w:p>
    <w:p w14:paraId="65A31D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对于非馆藏、非OA的需要付费使用的资源，我们提供以下几种获取方式：</w:t>
      </w:r>
    </w:p>
    <w:p w14:paraId="3C69FA1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1、官方文献传递</w:t>
      </w:r>
    </w:p>
    <w:p w14:paraId="58FE49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通过对接到CALIS、CASHL、NSTL或其它官方文献传递平台获取资源。</w:t>
      </w:r>
    </w:p>
    <w:p w14:paraId="1992424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2、绿色OA</w:t>
      </w:r>
    </w:p>
    <w:p w14:paraId="577080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我公司整理了绿色OA资源，对于需要付费使用的出版社资源，提供绿色的获取途径，到各大机构知识库、个人平台获取有版权的绿色OA资源。</w:t>
      </w:r>
    </w:p>
    <w:p w14:paraId="3B55860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3、单篇采选</w:t>
      </w:r>
    </w:p>
    <w:p w14:paraId="5ECFD3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通过与中教图使用s</w:t>
      </w:r>
      <w:r>
        <w:rPr>
          <w:b w:val="0"/>
          <w:sz w:val="24"/>
          <w:szCs w:val="24"/>
        </w:rPr>
        <w:t>ocolar</w:t>
      </w:r>
      <w:r>
        <w:rPr>
          <w:rFonts w:hint="eastAsia"/>
          <w:b w:val="0"/>
          <w:sz w:val="24"/>
          <w:szCs w:val="24"/>
        </w:rPr>
        <w:t>产品，可对资源进行单篇采选，并且采选之后将采购资源存到本地，纳入馆藏，再有读者需要时可直接获取。</w:t>
      </w:r>
    </w:p>
    <w:p w14:paraId="18468EC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（三）浏览器扩展特色</w:t>
      </w:r>
    </w:p>
    <w:p w14:paraId="7DE078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通过浏览器扩展，无论读者通过什么途径发现资源，在浏览器上均可提供扩展按钮，引导读者通过图书馆的方式获取资源。首选提供馆藏资源与OA资源，其次是通过文献传递、单篇采选的方式获取，这样一来可以提高馆藏资源的利用率，二来可以提升图书馆的服务满意度。</w:t>
      </w:r>
    </w:p>
    <w:p w14:paraId="120B53C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jNTU0MTY0MDU3ODVhZDE5Yjc4MjEzN2RkYmUxMmEifQ=="/>
  </w:docVars>
  <w:rsids>
    <w:rsidRoot w:val="0E254B96"/>
    <w:rsid w:val="067E2D0E"/>
    <w:rsid w:val="0E254B96"/>
    <w:rsid w:val="142A18A2"/>
    <w:rsid w:val="6B9B1788"/>
    <w:rsid w:val="6CEC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center"/>
    </w:pPr>
    <w:rPr>
      <w:rFonts w:asciiTheme="minorHAnsi" w:hAnsiTheme="minorHAnsi" w:eastAsiaTheme="minorEastAsia" w:cstheme="minorBidi"/>
      <w:b/>
      <w:kern w:val="2"/>
      <w:sz w:val="48"/>
      <w:szCs w:val="48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tabs>
        <w:tab w:val="left" w:pos="717"/>
      </w:tabs>
      <w:spacing w:before="240" w:after="60"/>
      <w:ind w:firstLine="487"/>
      <w:outlineLvl w:val="0"/>
    </w:pPr>
    <w:rPr>
      <w:rFonts w:eastAsia="宋体" w:asciiTheme="majorHAnsi" w:hAnsiTheme="majorHAnsi" w:cstheme="majorBidi"/>
      <w:bCs/>
      <w:sz w:val="32"/>
      <w:szCs w:val="32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2132</Words>
  <Characters>2299</Characters>
  <Lines>0</Lines>
  <Paragraphs>0</Paragraphs>
  <TotalTime>3</TotalTime>
  <ScaleCrop>false</ScaleCrop>
  <LinksUpToDate>false</LinksUpToDate>
  <CharactersWithSpaces>2307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2024-09-12T07:02:00Z</dcterms:created>
  <dc:creator>...</dc:creator>
  <cp:lastModifiedBy>...</cp:lastModifiedBy>
  <dcterms:modified xsi:type="dcterms:W3CDTF">2024-09-24T09:12:22Z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81BB7F9BE3384781B789ACE949E67F24_13</vt:lpwstr>
  </property>
</Properties>
</file>